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601D" w14:textId="28F4DC16" w:rsidR="00427230" w:rsidRPr="00B715DB" w:rsidRDefault="008D3D99" w:rsidP="00427230">
      <w:pPr>
        <w:rPr>
          <w:b/>
          <w:bCs/>
        </w:rPr>
      </w:pPr>
      <w:r w:rsidRPr="00B715DB">
        <w:rPr>
          <w:b/>
          <w:bCs/>
        </w:rPr>
        <w:t>Editorial: Exercise as a Countermeasure to Human Aging, Volume II</w:t>
      </w:r>
    </w:p>
    <w:p w14:paraId="2EA1704C" w14:textId="1998BACF" w:rsidR="00B715DB" w:rsidRDefault="00976EB1" w:rsidP="00427230">
      <w:r>
        <w:t>'</w:t>
      </w:r>
      <w:r w:rsidRPr="00976EB1">
        <w:t xml:space="preserve">Tis impossible to be sure of anything but </w:t>
      </w:r>
      <w:r>
        <w:t>d</w:t>
      </w:r>
      <w:r w:rsidRPr="00976EB1">
        <w:t xml:space="preserve">eath and </w:t>
      </w:r>
      <w:r>
        <w:t>t</w:t>
      </w:r>
      <w:r w:rsidRPr="00976EB1">
        <w:t>axes</w:t>
      </w:r>
      <w:r>
        <w:t xml:space="preserve"> </w:t>
      </w:r>
      <w:r w:rsidR="00FC2615">
        <w:t>(</w:t>
      </w:r>
      <w:r>
        <w:t>Christopher Bullock in the Cobbler of Preston</w:t>
      </w:r>
      <w:r w:rsidR="00FC2615">
        <w:t>, 1</w:t>
      </w:r>
      <w:r>
        <w:t>716</w:t>
      </w:r>
      <w:r w:rsidR="00FC2615">
        <w:t xml:space="preserve">). We are inclined to agree with </w:t>
      </w:r>
      <w:r>
        <w:t>Bullock</w:t>
      </w:r>
      <w:r w:rsidR="00FC2615">
        <w:t xml:space="preserve"> concerning the certainly of death</w:t>
      </w:r>
      <w:r w:rsidR="001F6DD2">
        <w:t xml:space="preserve"> and i</w:t>
      </w:r>
      <w:r w:rsidR="00110491">
        <w:t xml:space="preserve">n this context, aging is ubiquitous amongst humans which results in a deterioration of physiological function and an inevitable march towards death. However, physical activity and exercise are known to </w:t>
      </w:r>
      <w:r w:rsidR="00110491" w:rsidRPr="00110491">
        <w:t>exert positive effects on health and wider physiological function via multiple complex and interacting mechanisms (that have not yet</w:t>
      </w:r>
      <w:r w:rsidR="0097353A">
        <w:t xml:space="preserve"> been</w:t>
      </w:r>
      <w:r w:rsidR="00110491" w:rsidRPr="00110491">
        <w:t xml:space="preserve"> completely defined).</w:t>
      </w:r>
    </w:p>
    <w:p w14:paraId="4F048579" w14:textId="5E6C3936" w:rsidR="00427230" w:rsidRDefault="00FB6DFC" w:rsidP="00427230">
      <w:r>
        <w:t>In volume II of t</w:t>
      </w:r>
      <w:r w:rsidR="00B715DB">
        <w:t>his research t</w:t>
      </w:r>
      <w:r w:rsidR="00B715DB" w:rsidRPr="00B715DB">
        <w:t>opic</w:t>
      </w:r>
      <w:r>
        <w:t xml:space="preserve">, </w:t>
      </w:r>
      <w:r w:rsidR="00F16C35">
        <w:t>10</w:t>
      </w:r>
      <w:r w:rsidR="00B715DB" w:rsidRPr="00B715DB">
        <w:t xml:space="preserve"> articles covered the interplay between exercise and aging, utilizing approaches that spanned molecular, physiological, and population scale approaches, in both healthy older populations and certain disease subsets.</w:t>
      </w:r>
      <w:r>
        <w:t xml:space="preserve"> This work builds on our previous work </w:t>
      </w:r>
      <w:hyperlink r:id="rId5" w:history="1">
        <w:r w:rsidRPr="001F6DD2">
          <w:rPr>
            <w:rStyle w:val="Hyperlink"/>
          </w:rPr>
          <w:t>Exercise as a Countermeasure to Human Aging, Volume I</w:t>
        </w:r>
      </w:hyperlink>
      <w:r w:rsidR="00A57214">
        <w:t xml:space="preserve"> and i</w:t>
      </w:r>
      <w:r w:rsidR="00B715DB" w:rsidRPr="00B715DB">
        <w:t xml:space="preserve">t is a pleasure to note </w:t>
      </w:r>
      <w:r>
        <w:t>continued progress in this field, and the</w:t>
      </w:r>
      <w:r w:rsidRPr="00B715DB">
        <w:t xml:space="preserve"> range</w:t>
      </w:r>
      <w:r w:rsidR="00B715DB" w:rsidRPr="00B715DB">
        <w:t xml:space="preserve"> of methodological approaches authors have used.</w:t>
      </w:r>
    </w:p>
    <w:p w14:paraId="6C5BE7BE" w14:textId="77777777" w:rsidR="00492565" w:rsidRDefault="00492565" w:rsidP="00EF1065">
      <w:pPr>
        <w:rPr>
          <w:u w:val="single"/>
        </w:rPr>
      </w:pPr>
    </w:p>
    <w:p w14:paraId="40F24EF1" w14:textId="7F74B2A7" w:rsidR="00EF1065" w:rsidRPr="00A71C63" w:rsidRDefault="00EF1065" w:rsidP="00EF1065">
      <w:pPr>
        <w:rPr>
          <w:u w:val="single"/>
        </w:rPr>
      </w:pPr>
      <w:r w:rsidRPr="00A71C63">
        <w:rPr>
          <w:u w:val="single"/>
        </w:rPr>
        <w:t>High intensity interval training (HIIT)</w:t>
      </w:r>
    </w:p>
    <w:p w14:paraId="2ACB502A" w14:textId="77777777" w:rsidR="00EF1065" w:rsidRDefault="00EF1065" w:rsidP="00EF1065">
      <w:r>
        <w:t xml:space="preserve">A </w:t>
      </w:r>
      <w:r w:rsidRPr="00A71C63">
        <w:t>classical exercise physiology approach of a short-term training programme over weeks-to-months</w:t>
      </w:r>
      <w:r>
        <w:t xml:space="preserve"> in humans was performed by </w:t>
      </w:r>
      <w:hyperlink r:id="rId6" w:history="1">
        <w:r w:rsidRPr="00A75DC4">
          <w:rPr>
            <w:rStyle w:val="Hyperlink"/>
          </w:rPr>
          <w:t>Hayes et al.</w:t>
        </w:r>
      </w:hyperlink>
      <w:r>
        <w:t>. These authors provided preliminary evidence that in a group of previously sedentary</w:t>
      </w:r>
      <w:r w:rsidRPr="004D0D9E">
        <w:t xml:space="preserve"> </w:t>
      </w:r>
      <w:r>
        <w:t xml:space="preserve">sexagenarians, </w:t>
      </w:r>
      <w:r w:rsidRPr="004D0D9E">
        <w:t>moderate-intensity aerobic exercise and HIIT lower</w:t>
      </w:r>
      <w:r>
        <w:t>ed</w:t>
      </w:r>
      <w:r w:rsidRPr="004D0D9E">
        <w:t xml:space="preserve"> </w:t>
      </w:r>
      <w:r>
        <w:t>interleukin-6 (</w:t>
      </w:r>
      <w:r w:rsidRPr="004D0D9E">
        <w:t>IL-6</w:t>
      </w:r>
      <w:r>
        <w:t>)</w:t>
      </w:r>
      <w:r w:rsidRPr="004D0D9E">
        <w:t xml:space="preserve"> (and possible </w:t>
      </w:r>
      <w:r>
        <w:t>high sensitivity C-reactive protein [</w:t>
      </w:r>
      <w:r w:rsidRPr="004D0D9E">
        <w:t>hsCRP</w:t>
      </w:r>
      <w:r>
        <w:t>]</w:t>
      </w:r>
      <w:r w:rsidRPr="004D0D9E">
        <w:t>)</w:t>
      </w:r>
      <w:r>
        <w:t>. Another observation was that age-matched masters athletes had lower markers of inflammaging than the sedentary cohort through the investigation, emphasizing lifetime exercise habits are anti-inflammatory, but it is never too late to start and even after 30 years of sedentariness, inflammation was reduced after only six weeks of exercise. The same research group subsequently conducted a scoping review into the effects of HIIT on phenotypical characteristics of sarcopenia (</w:t>
      </w:r>
      <w:hyperlink r:id="rId7" w:history="1">
        <w:r w:rsidRPr="00A75DC4">
          <w:rPr>
            <w:rStyle w:val="Hyperlink"/>
          </w:rPr>
          <w:t>Hayes et al.</w:t>
        </w:r>
      </w:hyperlink>
      <w:r>
        <w:t>), with muscle function, muscle quantity, and physical performance generally improved, although there was scant literature in the oldest old (</w:t>
      </w:r>
      <w:r>
        <w:rPr>
          <w:rFonts w:cstheme="minorHAnsi"/>
        </w:rPr>
        <w:t xml:space="preserve">≥80 years of age), or those already sarcopenic. </w:t>
      </w:r>
      <w:r w:rsidRPr="000C6394">
        <w:rPr>
          <w:rFonts w:cstheme="minorHAnsi"/>
        </w:rPr>
        <w:t>Therefore,</w:t>
      </w:r>
      <w:r>
        <w:rPr>
          <w:rFonts w:cstheme="minorHAnsi"/>
        </w:rPr>
        <w:t xml:space="preserve"> </w:t>
      </w:r>
      <w:r w:rsidRPr="000C6394">
        <w:rPr>
          <w:rFonts w:cstheme="minorHAnsi"/>
        </w:rPr>
        <w:t>more</w:t>
      </w:r>
      <w:r>
        <w:rPr>
          <w:rFonts w:cstheme="minorHAnsi"/>
        </w:rPr>
        <w:t xml:space="preserve"> </w:t>
      </w:r>
      <w:r w:rsidRPr="000C6394">
        <w:rPr>
          <w:rFonts w:cstheme="minorHAnsi"/>
        </w:rPr>
        <w:t>studies are needed in this population</w:t>
      </w:r>
      <w:r>
        <w:rPr>
          <w:rFonts w:cstheme="minorHAnsi"/>
        </w:rPr>
        <w:t>.</w:t>
      </w:r>
    </w:p>
    <w:p w14:paraId="63F26B6F" w14:textId="6CD2615F" w:rsidR="00DE1F79" w:rsidRDefault="00DE1F79" w:rsidP="00427230"/>
    <w:p w14:paraId="5DEE7C1C" w14:textId="4D521080" w:rsidR="000A0E7B" w:rsidRPr="000A0E7B" w:rsidRDefault="000A0E7B" w:rsidP="00427230">
      <w:pPr>
        <w:rPr>
          <w:u w:val="single"/>
        </w:rPr>
      </w:pPr>
      <w:r w:rsidRPr="000A0E7B">
        <w:rPr>
          <w:u w:val="single"/>
        </w:rPr>
        <w:t>Performance in an aging demographic</w:t>
      </w:r>
    </w:p>
    <w:p w14:paraId="61ED6545" w14:textId="6911834F" w:rsidR="00DE1F79" w:rsidRDefault="00EF1065" w:rsidP="00427230">
      <w:r w:rsidRPr="00EF1065">
        <w:t xml:space="preserve">From a population health </w:t>
      </w:r>
      <w:r w:rsidR="00EF2D3F">
        <w:t>v</w:t>
      </w:r>
      <w:r w:rsidRPr="00EF1065">
        <w:t>iew</w:t>
      </w:r>
      <w:r w:rsidR="00EF2D3F">
        <w:t>point</w:t>
      </w:r>
      <w:r w:rsidRPr="00EF1065">
        <w:t xml:space="preserve">, increased lifelong activity, not just short-term exercise interventions, are needed. Thus, there has been much recent interest in examining highly trained masters athletes as a physiological model of successful aging </w:t>
      </w:r>
      <w:r w:rsidR="00C467F6">
        <w:fldChar w:fldCharType="begin"/>
      </w:r>
      <w:r w:rsidR="00C467F6">
        <w:instrText xml:space="preserve"> ADDIN ZOTERO_ITEM CSL_CITATION {"citationID":"Im6z7Lme","properties":{"formattedCitation":"(Elliott et al., 2017; Hayes et al., 2020; Pollock et al., 2015)","plainCitation":"(Elliott et al., 2017; Hayes et al., 2020; Pollock et al., 2015)","noteIndex":0},"citationItems":[{"id":6545,"uris":["http://zotero.org/users/5795197/items/3UZ5RGU3"],"uri":["http://zotero.org/users/5795197/items/3UZ5RGU3"],"itemData":{"id":6545,"type":"article-journal","container-title":"Physiological Reports","issue":"13","title":"Lifelong exercise, but not short-term high-intensity interval training, increases GDF11, a marker of successful aging: a preliminary investigation","volume":"5","author":[{"family":"Elliott","given":"B.T."},{"family":"Herbert","given":"P."},{"family":"Sculthorpe","given":"N."},{"family":"Grace","given":"F.M."},{"family":"Stratton","given":"D."},{"family":"Hayes","given":"L.D."}],"issued":{"date-parts":[["2017"]]}}},{"id":6522,"uris":["http://zotero.org/users/5795197/items/IGVYM7SG"],"uri":["http://zotero.org/users/5795197/items/IGVYM7SG"],"itemData":{"id":6522,"type":"article-journal","container-title":"Experimental Gerontology","title":"High intensity interval training (HIIT) produces small improvements in fasting glucose, insulin, and insulin resistance in sedentary older men but not masters athletes","volume":"140","author":[{"family":"Hayes","given":"L.D."},{"family":"Herbert","given":"P."},{"family":"Sculthorpe","given":"N."},{"family":"Grace","given":"F."}],"issued":{"date-parts":[["2020"]]}}},{"id":2215,"uris":["http://zotero.org/groups/2497601/items/BLNT4BYA"],"uri":["http://zotero.org/groups/2497601/items/BLNT4BYA"],"itemData":{"id":2215,"type":"article-journal","abstract":"KEY POINTS: The relationship between age and physiological function remains poorly defined and there are no physiological markers that can be used to reliably predict the age of an individual. This could be due to a variety of confounding genetic and lifestyle factors, and in particular to ill-defined and low levels of physical activity. This study assessed the relationship between age and a diverse range of physiological functions in a cohort of highly active older individuals (cyclists) aged 55-79 years in whom the effects of lifestyle factors would be ameliorated. Significant associations between age and function were observed for many functions. V̇O2max was most closely associated with age, but even here the variance in age for any given level was high, precluding the clear identification of the age of any individual. The data suggest that the relationship between human ageing and physiological function is highly individualistic and modified by inactivity.\nABSTRACT: Despite extensive research, the relationship between age and physiological function remains poorly characterised and there are currently no reliable markers of human ageing. This is probably due to a number of confounding factors, particularly in studies of a cross-sectional nature. These include inter-subject genetic variation, as well as inter-generational differences in nutrition, healthcare and insufficient levels of physical activity as well as other environmental factors. We have studied a cohort of highly and homogeneously active older male (n = 84) and female (n = 41) cyclists aged 55-79 years who it is proposed represent a model for the study of human ageing free from the majority of confounding factors, especially inactivity. The aim of the study was to identify physiological markers of ageing by assessing the relationship between function and age across a wide range of indices. Each participant underwent a detailed physiological profiling which included measures of cardiovascular, respiratory, neuromuscular, metabolic, endocrine and cognitive functions, bone strength, and health and well-being. Significant associations between age and function were observed for many functions. The maximal rate of oxygen consumption (V̇O2max) showed the closest association with age (r = -0.443 to -0.664; P &lt; 0.001), but even here the variance in age for any given level was high, precluding the clear identification of the age of any individual. The results of this cross-sectional study suggest that even when many confounding variables are removed the relationship between function and healthy ageing is complex and likely to be highly individualistic and that physical activity levels must be taken into account in ageing studies.","container-title":"The Journal of Physiology","DOI":"10.1113/jphysiol.2014.282863","ISSN":"1469-7793","issue":"3","journalAbbreviation":"J. Physiol. (Lond.)","language":"eng","note":"PMID: 25565071\nPMCID: PMC4324712","page":"657-680; discussion 680","source":"PubMed","title":"An investigation into the relationship between age and physiological function in highly active older adults","volume":"593","author":[{"family":"Pollock","given":"Ross D."},{"family":"Carter","given":"Scott"},{"family":"Velloso","given":"Cristiana P."},{"family":"Duggal","given":"Niharika A."},{"family":"Lord","given":"Janet M."},{"family":"Lazarus","given":"Norman R."},{"family":"Harridge","given":"Stephen D. R."}],"issued":{"date-parts":[["2015",2,1]]}}}],"schema":"https://github.com/citation-style-language/schema/raw/master/csl-citation.json"} </w:instrText>
      </w:r>
      <w:r w:rsidR="00C467F6">
        <w:fldChar w:fldCharType="separate"/>
      </w:r>
      <w:r w:rsidR="00C467F6" w:rsidRPr="00C467F6">
        <w:rPr>
          <w:rFonts w:ascii="Calibri" w:hAnsi="Calibri" w:cs="Calibri"/>
        </w:rPr>
        <w:t>(Elliott et al., 2017; Hayes et al., 2020; Pollock et al., 2015)</w:t>
      </w:r>
      <w:r w:rsidR="00C467F6">
        <w:fldChar w:fldCharType="end"/>
      </w:r>
      <w:r w:rsidRPr="00EF1065">
        <w:t xml:space="preserve">. </w:t>
      </w:r>
      <w:r w:rsidR="00EF2D3F" w:rsidRPr="00EF2D3F">
        <w:t xml:space="preserve">This </w:t>
      </w:r>
      <w:r w:rsidR="00EF2D3F">
        <w:t>r</w:t>
      </w:r>
      <w:r w:rsidR="00EF2D3F" w:rsidRPr="00EF2D3F">
        <w:t xml:space="preserve">esearch </w:t>
      </w:r>
      <w:r w:rsidR="00EF2D3F">
        <w:t>t</w:t>
      </w:r>
      <w:r w:rsidR="00EF2D3F" w:rsidRPr="00EF2D3F">
        <w:t xml:space="preserve">opic included </w:t>
      </w:r>
      <w:r w:rsidR="00EF2D3F">
        <w:t>six</w:t>
      </w:r>
      <w:r w:rsidR="00EF2D3F" w:rsidRPr="00EF2D3F">
        <w:t xml:space="preserve"> reports on lifelong exercis</w:t>
      </w:r>
      <w:r w:rsidR="00EF2D3F">
        <w:t>ing</w:t>
      </w:r>
      <w:r w:rsidR="00EF2D3F" w:rsidRPr="00EF2D3F">
        <w:t xml:space="preserve"> cohorts</w:t>
      </w:r>
      <w:r w:rsidR="00EF2D3F">
        <w:t>, and five</w:t>
      </w:r>
      <w:r w:rsidR="00F759F8" w:rsidRPr="00F759F8">
        <w:t xml:space="preserve"> examined </w:t>
      </w:r>
      <w:r w:rsidR="00F759F8">
        <w:t xml:space="preserve">performance </w:t>
      </w:r>
      <w:r w:rsidR="00756A3E">
        <w:t xml:space="preserve">of older adults </w:t>
      </w:r>
      <w:r w:rsidR="00F759F8">
        <w:t xml:space="preserve">in </w:t>
      </w:r>
      <w:r w:rsidR="00756A3E">
        <w:t>competition</w:t>
      </w:r>
      <w:r w:rsidR="00462CCD">
        <w:t xml:space="preserve">, </w:t>
      </w:r>
      <w:r w:rsidR="00EF2D3F">
        <w:t xml:space="preserve">with </w:t>
      </w:r>
      <w:r w:rsidR="00462CCD">
        <w:t xml:space="preserve">all </w:t>
      </w:r>
      <w:r w:rsidR="00C467F6">
        <w:t xml:space="preserve">(unfortunately!) </w:t>
      </w:r>
      <w:r w:rsidR="00462CCD">
        <w:t>observing poorer performance with advanced age. Firstly,</w:t>
      </w:r>
      <w:r w:rsidR="00B13736">
        <w:t xml:space="preserve"> </w:t>
      </w:r>
      <w:hyperlink r:id="rId8" w:history="1">
        <w:r w:rsidR="00B13736" w:rsidRPr="00A75DC4">
          <w:rPr>
            <w:rStyle w:val="Hyperlink"/>
          </w:rPr>
          <w:t>Ganse et al.</w:t>
        </w:r>
      </w:hyperlink>
      <w:r w:rsidR="00B13736">
        <w:t xml:space="preserve"> examined rate of performance decline in those over the age of 100 years of age between 2006 and 2019. In summary, the rate of decline was 2.53 times </w:t>
      </w:r>
      <w:r w:rsidR="00061946">
        <w:t>steeper</w:t>
      </w:r>
      <w:r w:rsidR="00B13736">
        <w:t xml:space="preserve"> in centenarians as is </w:t>
      </w:r>
      <w:r w:rsidR="0050624B">
        <w:t>80–96-year-olds</w:t>
      </w:r>
      <w:r w:rsidR="00B13736">
        <w:t xml:space="preserve"> from Sweden</w:t>
      </w:r>
      <w:r w:rsidR="0050624B">
        <w:t xml:space="preserve"> (previously published data from the same group). The 100 m sprint performance displayed the greatest difference between centenarians and non</w:t>
      </w:r>
      <w:r w:rsidR="00A57214">
        <w:t>-</w:t>
      </w:r>
      <w:r w:rsidR="00A57214" w:rsidRPr="00A57214">
        <w:t xml:space="preserve"> centenarians</w:t>
      </w:r>
      <w:r w:rsidR="0050624B">
        <w:t>, whereby centenarian performance decreased eight times steeper than in non-centenarians. The smallest differences in performance declines were in the discus and the javelin throw (1.54 and 1.27 times steep</w:t>
      </w:r>
      <w:r w:rsidR="00E972FB">
        <w:t>er</w:t>
      </w:r>
      <w:r w:rsidR="0050624B">
        <w:t xml:space="preserve"> respectively)</w:t>
      </w:r>
      <w:r w:rsidR="00E972FB">
        <w:t>, suggesting sprint performance is most susceptible to deterioration by advanced age.</w:t>
      </w:r>
      <w:r w:rsidR="00EC28D1">
        <w:t xml:space="preserve"> </w:t>
      </w:r>
      <w:r w:rsidR="00462CCD">
        <w:t>Secondly, i</w:t>
      </w:r>
      <w:r w:rsidR="00E972FB">
        <w:t xml:space="preserve">n an article from the same group </w:t>
      </w:r>
      <w:hyperlink r:id="rId9" w:history="1">
        <w:r w:rsidR="00E972FB" w:rsidRPr="00E972FB">
          <w:rPr>
            <w:rStyle w:val="Hyperlink"/>
          </w:rPr>
          <w:t>Moser et al.</w:t>
        </w:r>
      </w:hyperlink>
      <w:r w:rsidR="00E972FB" w:rsidRPr="00E972FB">
        <w:t xml:space="preserve">  </w:t>
      </w:r>
      <w:r w:rsidR="00E972FB">
        <w:t xml:space="preserve">examined pacing </w:t>
      </w:r>
      <w:r w:rsidR="004E2997">
        <w:t>variation f</w:t>
      </w:r>
      <w:r w:rsidR="00E972FB">
        <w:t xml:space="preserve">or the 200 and 400 m individual medley in age groups up to </w:t>
      </w:r>
      <w:r w:rsidR="00E972FB">
        <w:rPr>
          <w:rFonts w:cstheme="minorHAnsi"/>
        </w:rPr>
        <w:t xml:space="preserve">≥75 years of age. </w:t>
      </w:r>
      <w:r w:rsidR="004E2997">
        <w:rPr>
          <w:rFonts w:cstheme="minorHAnsi"/>
        </w:rPr>
        <w:t xml:space="preserve">As with the Ganse et al. article previously described, Moser and </w:t>
      </w:r>
      <w:r w:rsidR="004E2997">
        <w:rPr>
          <w:rFonts w:cstheme="minorHAnsi"/>
        </w:rPr>
        <w:lastRenderedPageBreak/>
        <w:t>colleagues observed an increase in race time (i.e. a worsening of performance) as participant</w:t>
      </w:r>
      <w:r w:rsidR="00061946">
        <w:rPr>
          <w:rFonts w:cstheme="minorHAnsi"/>
        </w:rPr>
        <w:t xml:space="preserve"> age increased</w:t>
      </w:r>
      <w:r w:rsidR="004E2997">
        <w:rPr>
          <w:rFonts w:cstheme="minorHAnsi"/>
        </w:rPr>
        <w:t xml:space="preserve">. </w:t>
      </w:r>
      <w:r w:rsidR="00BB331A">
        <w:rPr>
          <w:rFonts w:cstheme="minorHAnsi"/>
        </w:rPr>
        <w:t>P</w:t>
      </w:r>
      <w:r w:rsidR="004E2997">
        <w:rPr>
          <w:rFonts w:cstheme="minorHAnsi"/>
        </w:rPr>
        <w:t xml:space="preserve">acing variance, </w:t>
      </w:r>
      <w:r w:rsidR="00BB331A">
        <w:rPr>
          <w:rFonts w:cstheme="minorHAnsi"/>
        </w:rPr>
        <w:t>using t</w:t>
      </w:r>
      <w:r w:rsidR="004E2997">
        <w:rPr>
          <w:rFonts w:cstheme="minorHAnsi"/>
        </w:rPr>
        <w:t>he coefficient of variance (CV)</w:t>
      </w:r>
      <w:r w:rsidR="00BB331A">
        <w:rPr>
          <w:rFonts w:cstheme="minorHAnsi"/>
        </w:rPr>
        <w:t xml:space="preserve"> of each split exhibited greater variation in males </w:t>
      </w:r>
      <w:r w:rsidR="000D090C">
        <w:rPr>
          <w:rFonts w:cstheme="minorHAnsi"/>
        </w:rPr>
        <w:t>and females in the older age groups</w:t>
      </w:r>
      <w:r w:rsidR="00B472F3">
        <w:rPr>
          <w:rFonts w:cstheme="minorHAnsi"/>
        </w:rPr>
        <w:t xml:space="preserve">. Pacing </w:t>
      </w:r>
      <w:r w:rsidR="000D090C">
        <w:rPr>
          <w:rFonts w:cstheme="minorHAnsi"/>
        </w:rPr>
        <w:t>variation</w:t>
      </w:r>
      <w:r w:rsidR="00B472F3">
        <w:rPr>
          <w:rFonts w:cstheme="minorHAnsi"/>
        </w:rPr>
        <w:t xml:space="preserve"> was</w:t>
      </w:r>
      <w:r w:rsidR="000D090C">
        <w:rPr>
          <w:rFonts w:cstheme="minorHAnsi"/>
        </w:rPr>
        <w:t xml:space="preserve"> greater in males than females</w:t>
      </w:r>
      <w:r w:rsidR="00B472F3">
        <w:rPr>
          <w:rFonts w:cstheme="minorHAnsi"/>
        </w:rPr>
        <w:t>,</w:t>
      </w:r>
      <w:r w:rsidR="000D090C">
        <w:rPr>
          <w:rFonts w:cstheme="minorHAnsi"/>
        </w:rPr>
        <w:t xml:space="preserve"> suggesting females swim a more consistent pace during competition.</w:t>
      </w:r>
      <w:r w:rsidR="000D090C" w:rsidRPr="000D090C">
        <w:t xml:space="preserve"> </w:t>
      </w:r>
      <w:r w:rsidR="000D090C">
        <w:rPr>
          <w:rFonts w:cstheme="minorHAnsi"/>
        </w:rPr>
        <w:t>That said, both</w:t>
      </w:r>
      <w:r w:rsidR="000D090C" w:rsidRPr="000D090C">
        <w:rPr>
          <w:rFonts w:cstheme="minorHAnsi"/>
        </w:rPr>
        <w:t xml:space="preserve"> female and male master swimmers showed</w:t>
      </w:r>
      <w:r w:rsidR="000D090C">
        <w:rPr>
          <w:rFonts w:cstheme="minorHAnsi"/>
        </w:rPr>
        <w:t xml:space="preserve"> </w:t>
      </w:r>
      <w:r w:rsidR="000D090C" w:rsidRPr="000D090C">
        <w:rPr>
          <w:rFonts w:cstheme="minorHAnsi"/>
        </w:rPr>
        <w:t xml:space="preserve">a final end spurt </w:t>
      </w:r>
      <w:r w:rsidR="000D090C">
        <w:rPr>
          <w:rFonts w:cstheme="minorHAnsi"/>
        </w:rPr>
        <w:t xml:space="preserve">(i.e. the final split was the fastest) </w:t>
      </w:r>
      <w:r w:rsidR="000D090C" w:rsidRPr="000D090C">
        <w:rPr>
          <w:rFonts w:cstheme="minorHAnsi"/>
        </w:rPr>
        <w:t xml:space="preserve">in both 200 and 400 m </w:t>
      </w:r>
      <w:r w:rsidR="000D090C">
        <w:rPr>
          <w:rFonts w:cstheme="minorHAnsi"/>
        </w:rPr>
        <w:t>i</w:t>
      </w:r>
      <w:r w:rsidR="000D090C" w:rsidRPr="000D090C">
        <w:rPr>
          <w:rFonts w:cstheme="minorHAnsi"/>
        </w:rPr>
        <w:t>ndividual medley</w:t>
      </w:r>
      <w:r w:rsidR="000D090C">
        <w:rPr>
          <w:rFonts w:cstheme="minorHAnsi"/>
        </w:rPr>
        <w:t>.</w:t>
      </w:r>
      <w:r w:rsidR="00EC28D1">
        <w:rPr>
          <w:rFonts w:cstheme="minorHAnsi"/>
        </w:rPr>
        <w:t xml:space="preserve"> </w:t>
      </w:r>
      <w:r w:rsidR="00E1212E">
        <w:rPr>
          <w:rFonts w:cstheme="minorHAnsi"/>
        </w:rPr>
        <w:t xml:space="preserve">Thirdly, </w:t>
      </w:r>
      <w:r w:rsidR="00061946">
        <w:rPr>
          <w:rFonts w:cstheme="minorHAnsi"/>
        </w:rPr>
        <w:t>the same research group examined historical data of the Berlin Marathon to examine whether environmental condition influence</w:t>
      </w:r>
      <w:r w:rsidR="000A0E7B">
        <w:rPr>
          <w:rFonts w:cstheme="minorHAnsi"/>
        </w:rPr>
        <w:t xml:space="preserve">d </w:t>
      </w:r>
      <w:r w:rsidR="00061946">
        <w:rPr>
          <w:rFonts w:cstheme="minorHAnsi"/>
        </w:rPr>
        <w:t xml:space="preserve">performance in </w:t>
      </w:r>
      <w:r w:rsidR="000A0E7B">
        <w:rPr>
          <w:rFonts w:cstheme="minorHAnsi"/>
        </w:rPr>
        <w:t xml:space="preserve">age group </w:t>
      </w:r>
      <w:r w:rsidR="000A0E7B" w:rsidRPr="000A0E7B">
        <w:rPr>
          <w:rFonts w:cstheme="minorHAnsi"/>
        </w:rPr>
        <w:t>runners (</w:t>
      </w:r>
      <w:hyperlink r:id="rId10" w:history="1">
        <w:r w:rsidR="00B13736" w:rsidRPr="000A0E7B">
          <w:rPr>
            <w:rStyle w:val="Hyperlink"/>
          </w:rPr>
          <w:t>Knechtle et al.</w:t>
        </w:r>
      </w:hyperlink>
      <w:r w:rsidR="000A0E7B" w:rsidRPr="000A0E7B">
        <w:t>)</w:t>
      </w:r>
      <w:r w:rsidR="000A0E7B">
        <w:t>. In a group of</w:t>
      </w:r>
      <w:r w:rsidR="000A0E7B" w:rsidRPr="000A0E7B">
        <w:t xml:space="preserve"> 869,474 valid finisher records</w:t>
      </w:r>
      <w:r w:rsidR="00462CCD">
        <w:t xml:space="preserve">, older age groups ran slower. Although higher daily maximum </w:t>
      </w:r>
      <w:r w:rsidR="00A71C63">
        <w:t>temperatures were</w:t>
      </w:r>
      <w:r w:rsidR="00462CCD">
        <w:t xml:space="preserve"> associated with better performance in the best (and youngest) runners, increased daily maximum temperatures decreased race performance in age group</w:t>
      </w:r>
      <w:r w:rsidR="00E1212E">
        <w:t xml:space="preserve"> </w:t>
      </w:r>
      <w:r w:rsidR="00462CCD">
        <w:t>marathoners from age group 35–40 years and older with no differences between the sexes</w:t>
      </w:r>
      <w:r w:rsidR="00E1212E">
        <w:t xml:space="preserve">. In the fourth and final paper from this research group, </w:t>
      </w:r>
      <w:hyperlink r:id="rId11" w:history="1">
        <w:r w:rsidR="00642EBF" w:rsidRPr="00E1212E">
          <w:rPr>
            <w:rStyle w:val="Hyperlink"/>
          </w:rPr>
          <w:t>Reusser</w:t>
        </w:r>
        <w:r w:rsidR="00A75DC4" w:rsidRPr="00E1212E">
          <w:rPr>
            <w:rStyle w:val="Hyperlink"/>
          </w:rPr>
          <w:t xml:space="preserve"> et al.</w:t>
        </w:r>
      </w:hyperlink>
      <w:r w:rsidR="00E1212E">
        <w:t xml:space="preserve"> conducted another historical analysis of the Berlin Marathon and again observed </w:t>
      </w:r>
      <w:r w:rsidR="008803BA" w:rsidRPr="008803BA">
        <w:t>older age groups ran slower</w:t>
      </w:r>
      <w:r w:rsidR="008803BA">
        <w:t>. However, an important finding was that the number of finishers increased for both women and men runners over the decades, from 236 and 8 men and women respectively in 1974, to 28,373 and 12,268 men and women respectively in 2018.</w:t>
      </w:r>
      <w:r w:rsidR="00743FDD">
        <w:t xml:space="preserve"> This effect was manifest across all age groups, except for male athletes aged 20–49 years and athletes of both sexes above 79 years old.</w:t>
      </w:r>
      <w:r w:rsidR="00DA395A">
        <w:t xml:space="preserve"> </w:t>
      </w:r>
      <w:r w:rsidR="00EF2D3F" w:rsidRPr="00EF2D3F">
        <w:t xml:space="preserve">All these results point to an environment that is </w:t>
      </w:r>
      <w:r w:rsidR="00EF2D3F">
        <w:t xml:space="preserve">supportive of exercise </w:t>
      </w:r>
      <w:r w:rsidR="00DA395A">
        <w:t xml:space="preserve">participation </w:t>
      </w:r>
      <w:r w:rsidR="00EF2D3F">
        <w:t>in older age</w:t>
      </w:r>
      <w:r w:rsidR="00EF2D3F" w:rsidRPr="00EF2D3F">
        <w:t xml:space="preserve">, but </w:t>
      </w:r>
      <w:r w:rsidR="00EF2D3F">
        <w:t>performance declines are inevitable.</w:t>
      </w:r>
      <w:r w:rsidR="00DA395A">
        <w:t xml:space="preserve"> One further aspect of interest would be to examine the influence of training programme variables (i.e., volume, intensity, frequency) on the rate of performance declines. However, this would require big data approaches and continual training recording, which has only recently become possible (since cloud storage became commonplace).</w:t>
      </w:r>
    </w:p>
    <w:p w14:paraId="5FE766A2" w14:textId="77777777" w:rsidR="00DA395A" w:rsidRDefault="00DA395A" w:rsidP="00427230"/>
    <w:p w14:paraId="4DADFB05" w14:textId="5B8D2566" w:rsidR="00346750" w:rsidRPr="00346750" w:rsidRDefault="00346750" w:rsidP="00427230">
      <w:pPr>
        <w:rPr>
          <w:u w:val="single"/>
        </w:rPr>
      </w:pPr>
      <w:r w:rsidRPr="00346750">
        <w:rPr>
          <w:u w:val="single"/>
        </w:rPr>
        <w:t xml:space="preserve">From big data </w:t>
      </w:r>
      <w:r w:rsidR="0000270A">
        <w:rPr>
          <w:u w:val="single"/>
        </w:rPr>
        <w:t xml:space="preserve">to </w:t>
      </w:r>
      <w:r w:rsidRPr="00346750">
        <w:rPr>
          <w:u w:val="single"/>
        </w:rPr>
        <w:t>microvesicles</w:t>
      </w:r>
      <w:r w:rsidR="006D2D76">
        <w:rPr>
          <w:u w:val="single"/>
        </w:rPr>
        <w:t>, microarchitecture, and microRNA</w:t>
      </w:r>
    </w:p>
    <w:p w14:paraId="390B9820" w14:textId="0E0646DA" w:rsidR="00EA0694" w:rsidRDefault="00000000" w:rsidP="00EA0694">
      <w:hyperlink r:id="rId12" w:history="1">
        <w:r w:rsidR="00043BDD" w:rsidRPr="00A75DC4">
          <w:rPr>
            <w:rStyle w:val="Hyperlink"/>
          </w:rPr>
          <w:t>K</w:t>
        </w:r>
        <w:r w:rsidR="00DE1F79" w:rsidRPr="00A75DC4">
          <w:rPr>
            <w:rStyle w:val="Hyperlink"/>
          </w:rPr>
          <w:t>yriakidou</w:t>
        </w:r>
        <w:r w:rsidR="00A75DC4" w:rsidRPr="00A75DC4">
          <w:rPr>
            <w:rStyle w:val="Hyperlink"/>
          </w:rPr>
          <w:t xml:space="preserve"> et al.</w:t>
        </w:r>
      </w:hyperlink>
      <w:r w:rsidR="00CB029D">
        <w:t xml:space="preserve"> observed that extracellular vesicle response to muscle damaging exercise (</w:t>
      </w:r>
      <w:r w:rsidR="00CB029D" w:rsidRPr="00CB029D">
        <w:t>high intensity eccentric exercise</w:t>
      </w:r>
      <w:r w:rsidR="00CB029D">
        <w:t xml:space="preserve">) was similar in young and old participants, suggesting a preserved </w:t>
      </w:r>
      <w:r w:rsidR="00476884">
        <w:t>means for inter-tissue crosstalk in older age following muscle damage.</w:t>
      </w:r>
      <w:r w:rsidR="00EC28D1">
        <w:t xml:space="preserve"> </w:t>
      </w:r>
      <w:r w:rsidR="0000270A">
        <w:t>Using t</w:t>
      </w:r>
      <w:r w:rsidR="0000270A" w:rsidRPr="0000270A">
        <w:t xml:space="preserve">he ovariectomized </w:t>
      </w:r>
      <w:r w:rsidR="0000270A">
        <w:t>mouse</w:t>
      </w:r>
      <w:r w:rsidR="0000270A" w:rsidRPr="0000270A">
        <w:t xml:space="preserve"> model of postmenopausal bone loss</w:t>
      </w:r>
      <w:r w:rsidR="0000270A">
        <w:t xml:space="preserve">, </w:t>
      </w:r>
      <w:hyperlink r:id="rId13" w:history="1">
        <w:r w:rsidR="00A75DC4" w:rsidRPr="00A75DC4">
          <w:rPr>
            <w:rStyle w:val="Hyperlink"/>
          </w:rPr>
          <w:t>Z</w:t>
        </w:r>
        <w:r w:rsidR="00043BDD" w:rsidRPr="00A75DC4">
          <w:rPr>
            <w:rStyle w:val="Hyperlink"/>
          </w:rPr>
          <w:t>hao</w:t>
        </w:r>
        <w:r w:rsidR="00A75DC4" w:rsidRPr="00A75DC4">
          <w:rPr>
            <w:rStyle w:val="Hyperlink"/>
          </w:rPr>
          <w:t xml:space="preserve"> et al.</w:t>
        </w:r>
      </w:hyperlink>
      <w:r w:rsidR="0000270A">
        <w:t xml:space="preserve"> compared downhill running, </w:t>
      </w:r>
      <w:r w:rsidR="00D94160">
        <w:t>and downhill running plus an anti-irisin receptor agent, compared to controls for bone mineral density (BMD). These authors demonstrated that downhill running improved cortical and trabecular volumetric BMD</w:t>
      </w:r>
      <w:r w:rsidR="00693EFD">
        <w:t xml:space="preserve"> and microarchitecture</w:t>
      </w:r>
      <w:r w:rsidR="00D94160">
        <w:t xml:space="preserve"> compared to non-exercised </w:t>
      </w:r>
      <w:r w:rsidR="00D94160" w:rsidRPr="00D94160">
        <w:t>ovariectomized</w:t>
      </w:r>
      <w:r w:rsidR="00D94160">
        <w:t xml:space="preserve"> mice. However, injection with an anti-irisin receptor agent weakened the exercise effect. These authors concluded that exercise is a potent osteo</w:t>
      </w:r>
      <w:r w:rsidR="006D2D76">
        <w:t xml:space="preserve">genic </w:t>
      </w:r>
      <w:r w:rsidR="00693EFD">
        <w:t>factor and</w:t>
      </w:r>
      <w:r w:rsidR="006D2D76">
        <w:t xml:space="preserve"> blocking of irisin receptor signalling ameliorated this effect. Thus, irisin plays a role in regulating bone response to exercise through Akt/b-catenin pathways.</w:t>
      </w:r>
      <w:r w:rsidR="00EC28D1">
        <w:t xml:space="preserve"> </w:t>
      </w:r>
      <w:r w:rsidR="00774F4A">
        <w:t>Considering microRNAs</w:t>
      </w:r>
      <w:r w:rsidR="00973ED7">
        <w:t xml:space="preserve"> (mRNAs)</w:t>
      </w:r>
      <w:r w:rsidR="00774F4A">
        <w:t xml:space="preserve">, </w:t>
      </w:r>
      <w:hyperlink r:id="rId14" w:history="1">
        <w:r w:rsidR="00043BDD" w:rsidRPr="00A75DC4">
          <w:rPr>
            <w:rStyle w:val="Hyperlink"/>
          </w:rPr>
          <w:t>Garai</w:t>
        </w:r>
        <w:r w:rsidR="00A75DC4" w:rsidRPr="00A75DC4">
          <w:rPr>
            <w:rStyle w:val="Hyperlink"/>
          </w:rPr>
          <w:t xml:space="preserve"> et al.</w:t>
        </w:r>
      </w:hyperlink>
      <w:r w:rsidR="00774F4A">
        <w:t xml:space="preserve"> made the important observation that there was considerable overlap between exosomal </w:t>
      </w:r>
      <w:r w:rsidR="00973ED7">
        <w:t>m</w:t>
      </w:r>
      <w:r w:rsidR="00774F4A">
        <w:t xml:space="preserve">RNAs </w:t>
      </w:r>
      <w:r w:rsidR="00973ED7">
        <w:t xml:space="preserve">(exomiRs) </w:t>
      </w:r>
      <w:r w:rsidR="00774F4A">
        <w:t>of young participants on a six month exercise intervention, and lifelong (&gt;25 years)</w:t>
      </w:r>
      <w:r w:rsidR="00973ED7">
        <w:t xml:space="preserve"> exercisers. Using </w:t>
      </w:r>
      <w:r w:rsidR="00973ED7" w:rsidRPr="00973ED7">
        <w:t>Kyoto Encyclopedia of Genes and Genomes</w:t>
      </w:r>
      <w:r w:rsidR="00973ED7">
        <w:t xml:space="preserve"> pathway analysis, a large portion of these</w:t>
      </w:r>
      <w:r w:rsidR="00973ED7" w:rsidRPr="00973ED7">
        <w:t xml:space="preserve"> exomiR</w:t>
      </w:r>
      <w:r w:rsidR="00973ED7">
        <w:t xml:space="preserve">s target chronic diseases such as cancer, neurodegenerative and metabolic diseases, and viral infections. As such, </w:t>
      </w:r>
      <w:r w:rsidR="00973ED7" w:rsidRPr="00973ED7">
        <w:t>exomiRs</w:t>
      </w:r>
      <w:r w:rsidR="00973ED7">
        <w:t xml:space="preserve"> may be </w:t>
      </w:r>
      <w:r w:rsidR="00B821F6">
        <w:t xml:space="preserve">one of the </w:t>
      </w:r>
      <w:r w:rsidR="00973ED7">
        <w:t>mechanisms by which exercise prevents several chronic diseases, the</w:t>
      </w:r>
      <w:r w:rsidR="00B821F6">
        <w:t xml:space="preserve"> emerging</w:t>
      </w:r>
      <w:r w:rsidR="00973ED7">
        <w:t xml:space="preserve"> possibility of </w:t>
      </w:r>
      <w:r w:rsidR="00973ED7" w:rsidRPr="00973ED7">
        <w:t>exomiRs</w:t>
      </w:r>
      <w:r w:rsidR="00973ED7">
        <w:t xml:space="preserve"> as a </w:t>
      </w:r>
      <w:r w:rsidR="00EF1065">
        <w:t>therapeutic target is exciting.</w:t>
      </w:r>
      <w:r w:rsidR="00EA0694">
        <w:t xml:space="preserve"> </w:t>
      </w:r>
      <w:r w:rsidR="00EA0694" w:rsidRPr="00EC28D1">
        <w:t>These results</w:t>
      </w:r>
      <w:r w:rsidR="00EA0694">
        <w:t xml:space="preserve"> show the uses of exercise physiology to continue to probe the basic biology of aging, and further suggest emerging findings </w:t>
      </w:r>
      <w:r w:rsidR="00EA0694" w:rsidRPr="00EC28D1">
        <w:t xml:space="preserve">that </w:t>
      </w:r>
      <w:r w:rsidR="00EA0694">
        <w:t>inter-tissue cross-talk during and after physical activity is preserved</w:t>
      </w:r>
      <w:r w:rsidR="00EA0694" w:rsidRPr="00EC28D1">
        <w:t xml:space="preserve"> </w:t>
      </w:r>
      <w:r w:rsidR="00EA0694">
        <w:t>with age. Exercise may truly be a countermeasure to biological human aging</w:t>
      </w:r>
      <w:r w:rsidR="00EA0694" w:rsidRPr="00EC28D1">
        <w:t>.</w:t>
      </w:r>
    </w:p>
    <w:p w14:paraId="4C62A44B" w14:textId="5B519398" w:rsidR="00F16C35" w:rsidRPr="005372DF" w:rsidRDefault="00EA0694" w:rsidP="00F16C35">
      <w:r>
        <w:lastRenderedPageBreak/>
        <w:t>Finally, s</w:t>
      </w:r>
      <w:r w:rsidR="00F16C35" w:rsidRPr="005372DF">
        <w:t xml:space="preserve">cience is, and always should be, self-correcting. We applaud </w:t>
      </w:r>
      <w:hyperlink r:id="rId15" w:history="1">
        <w:r w:rsidR="00F16C35" w:rsidRPr="005372DF">
          <w:rPr>
            <w:rStyle w:val="Hyperlink"/>
            <w:u w:val="none"/>
          </w:rPr>
          <w:t>Garai et al</w:t>
        </w:r>
      </w:hyperlink>
      <w:r w:rsidR="00F16C35" w:rsidRPr="005372DF">
        <w:t xml:space="preserve">. for their </w:t>
      </w:r>
      <w:r w:rsidR="002D2B78" w:rsidRPr="005372DF">
        <w:t>c</w:t>
      </w:r>
      <w:r w:rsidR="00F16C35" w:rsidRPr="005372DF">
        <w:t>orrigendum correcting an mis-acknowledgement of funding source</w:t>
      </w:r>
      <w:r w:rsidR="002D2B78" w:rsidRPr="005372DF">
        <w:t>. A</w:t>
      </w:r>
      <w:r>
        <w:t>n</w:t>
      </w:r>
      <w:r w:rsidR="00F16C35" w:rsidRPr="005372DF">
        <w:t xml:space="preserve"> error </w:t>
      </w:r>
      <w:r>
        <w:t>of this type would</w:t>
      </w:r>
      <w:r w:rsidR="00F16C35" w:rsidRPr="005372DF">
        <w:t xml:space="preserve"> </w:t>
      </w:r>
      <w:r>
        <w:t>un</w:t>
      </w:r>
      <w:r w:rsidR="00F16C35" w:rsidRPr="005372DF">
        <w:t xml:space="preserve">likely </w:t>
      </w:r>
      <w:r>
        <w:t>be</w:t>
      </w:r>
      <w:r w:rsidR="00F16C35" w:rsidRPr="005372DF">
        <w:t xml:space="preserve"> noticed, but </w:t>
      </w:r>
      <w:r>
        <w:t xml:space="preserve">it </w:t>
      </w:r>
      <w:r w:rsidR="00F16C35" w:rsidRPr="005372DF">
        <w:t xml:space="preserve">was important to acknowledge correctly. </w:t>
      </w:r>
    </w:p>
    <w:p w14:paraId="4009ACE9" w14:textId="688FDF92" w:rsidR="00427230" w:rsidRDefault="00427230" w:rsidP="00427230"/>
    <w:p w14:paraId="1C7FFF81" w14:textId="77777777" w:rsidR="00876CA5" w:rsidRPr="00876CA5" w:rsidRDefault="00876CA5" w:rsidP="00876CA5">
      <w:pPr>
        <w:rPr>
          <w:b/>
          <w:bCs/>
        </w:rPr>
      </w:pPr>
      <w:r w:rsidRPr="00876CA5">
        <w:rPr>
          <w:b/>
          <w:bCs/>
        </w:rPr>
        <w:t>Author Contributions</w:t>
      </w:r>
    </w:p>
    <w:p w14:paraId="7579AF88" w14:textId="4105446E" w:rsidR="00876CA5" w:rsidRDefault="00876CA5" w:rsidP="00876CA5">
      <w:r>
        <w:t>LH wrote the first draft. BE and MB critically reviewed, and all authors approved the final version of this editorial.</w:t>
      </w:r>
    </w:p>
    <w:p w14:paraId="584FF309" w14:textId="77777777" w:rsidR="00876CA5" w:rsidRDefault="00876CA5" w:rsidP="00876CA5"/>
    <w:p w14:paraId="0E2B7936" w14:textId="77777777" w:rsidR="00876CA5" w:rsidRPr="00876CA5" w:rsidRDefault="00876CA5" w:rsidP="00876CA5">
      <w:pPr>
        <w:rPr>
          <w:b/>
          <w:bCs/>
        </w:rPr>
      </w:pPr>
      <w:r w:rsidRPr="00876CA5">
        <w:rPr>
          <w:b/>
          <w:bCs/>
        </w:rPr>
        <w:t>Conflict of Interest</w:t>
      </w:r>
    </w:p>
    <w:p w14:paraId="7704B6B8" w14:textId="34D5D766" w:rsidR="00876CA5" w:rsidRDefault="00876CA5" w:rsidP="00876CA5">
      <w:r>
        <w:t>The authors declare that the research was conducted in the absence of any commercial or financial relationships that could be construed as a potential conflict of interest.</w:t>
      </w:r>
    </w:p>
    <w:p w14:paraId="322B33A9" w14:textId="77777777" w:rsidR="00876CA5" w:rsidRDefault="00876CA5" w:rsidP="00427230"/>
    <w:p w14:paraId="7E034F0B" w14:textId="77777777" w:rsidR="00C467F6" w:rsidRPr="00C467F6" w:rsidRDefault="00C467F6" w:rsidP="00C467F6">
      <w:pPr>
        <w:pStyle w:val="Bibliography"/>
        <w:rPr>
          <w:rFonts w:ascii="Calibri" w:hAnsi="Calibri" w:cs="Calibri"/>
          <w:sz w:val="22"/>
        </w:rPr>
      </w:pPr>
      <w:r>
        <w:rPr>
          <w:color w:val="FF0000"/>
        </w:rPr>
        <w:fldChar w:fldCharType="begin"/>
      </w:r>
      <w:r>
        <w:rPr>
          <w:color w:val="FF0000"/>
        </w:rPr>
        <w:instrText xml:space="preserve"> ADDIN ZOTERO_BIBL {"uncited":[],"omitted":[],"custom":[]} CSL_BIBLIOGRAPHY </w:instrText>
      </w:r>
      <w:r>
        <w:rPr>
          <w:color w:val="FF0000"/>
        </w:rPr>
        <w:fldChar w:fldCharType="separate"/>
      </w:r>
      <w:r w:rsidRPr="00C467F6">
        <w:rPr>
          <w:rFonts w:ascii="Calibri" w:hAnsi="Calibri" w:cs="Calibri"/>
          <w:sz w:val="22"/>
        </w:rPr>
        <w:t xml:space="preserve">Elliott, B. T., Herbert, P., Sculthorpe, N., Grace, F. M., Stratton, D., &amp; Hayes, L. D. (2017). Lifelong exercise, but not short-term high-intensity interval training, increases GDF11, a marker of successful aging: A preliminary investigation. </w:t>
      </w:r>
      <w:r w:rsidRPr="00C467F6">
        <w:rPr>
          <w:rFonts w:ascii="Calibri" w:hAnsi="Calibri" w:cs="Calibri"/>
          <w:i/>
          <w:iCs/>
          <w:sz w:val="22"/>
        </w:rPr>
        <w:t>Physiological Reports</w:t>
      </w:r>
      <w:r w:rsidRPr="00C467F6">
        <w:rPr>
          <w:rFonts w:ascii="Calibri" w:hAnsi="Calibri" w:cs="Calibri"/>
          <w:sz w:val="22"/>
        </w:rPr>
        <w:t xml:space="preserve">, </w:t>
      </w:r>
      <w:r w:rsidRPr="00C467F6">
        <w:rPr>
          <w:rFonts w:ascii="Calibri" w:hAnsi="Calibri" w:cs="Calibri"/>
          <w:i/>
          <w:iCs/>
          <w:sz w:val="22"/>
        </w:rPr>
        <w:t>5</w:t>
      </w:r>
      <w:r w:rsidRPr="00C467F6">
        <w:rPr>
          <w:rFonts w:ascii="Calibri" w:hAnsi="Calibri" w:cs="Calibri"/>
          <w:sz w:val="22"/>
        </w:rPr>
        <w:t>(13).</w:t>
      </w:r>
    </w:p>
    <w:p w14:paraId="5FFC608A" w14:textId="77777777" w:rsidR="00C467F6" w:rsidRPr="00C467F6" w:rsidRDefault="00C467F6" w:rsidP="00C467F6">
      <w:pPr>
        <w:pStyle w:val="Bibliography"/>
        <w:rPr>
          <w:rFonts w:ascii="Calibri" w:hAnsi="Calibri" w:cs="Calibri"/>
          <w:sz w:val="22"/>
        </w:rPr>
      </w:pPr>
      <w:r w:rsidRPr="00C467F6">
        <w:rPr>
          <w:rFonts w:ascii="Calibri" w:hAnsi="Calibri" w:cs="Calibri"/>
          <w:sz w:val="22"/>
        </w:rPr>
        <w:t xml:space="preserve">Hayes, L. D., Herbert, P., Sculthorpe, N., &amp; Grace, F. (2020). High intensity interval training (HIIT) produces small improvements in fasting glucose, insulin, and insulin resistance in sedentary older men but not masters athletes. </w:t>
      </w:r>
      <w:r w:rsidRPr="00C467F6">
        <w:rPr>
          <w:rFonts w:ascii="Calibri" w:hAnsi="Calibri" w:cs="Calibri"/>
          <w:i/>
          <w:iCs/>
          <w:sz w:val="22"/>
        </w:rPr>
        <w:t>Experimental Gerontology</w:t>
      </w:r>
      <w:r w:rsidRPr="00C467F6">
        <w:rPr>
          <w:rFonts w:ascii="Calibri" w:hAnsi="Calibri" w:cs="Calibri"/>
          <w:sz w:val="22"/>
        </w:rPr>
        <w:t xml:space="preserve">, </w:t>
      </w:r>
      <w:r w:rsidRPr="00C467F6">
        <w:rPr>
          <w:rFonts w:ascii="Calibri" w:hAnsi="Calibri" w:cs="Calibri"/>
          <w:i/>
          <w:iCs/>
          <w:sz w:val="22"/>
        </w:rPr>
        <w:t>140</w:t>
      </w:r>
      <w:r w:rsidRPr="00C467F6">
        <w:rPr>
          <w:rFonts w:ascii="Calibri" w:hAnsi="Calibri" w:cs="Calibri"/>
          <w:sz w:val="22"/>
        </w:rPr>
        <w:t>.</w:t>
      </w:r>
    </w:p>
    <w:p w14:paraId="70107E99" w14:textId="77777777" w:rsidR="00C467F6" w:rsidRPr="00C467F6" w:rsidRDefault="00C467F6" w:rsidP="00C467F6">
      <w:pPr>
        <w:pStyle w:val="Bibliography"/>
        <w:rPr>
          <w:rFonts w:ascii="Calibri" w:hAnsi="Calibri" w:cs="Calibri"/>
          <w:sz w:val="22"/>
        </w:rPr>
      </w:pPr>
      <w:r w:rsidRPr="00C467F6">
        <w:rPr>
          <w:rFonts w:ascii="Calibri" w:hAnsi="Calibri" w:cs="Calibri"/>
          <w:sz w:val="22"/>
        </w:rPr>
        <w:t xml:space="preserve">Pollock, R. D., Carter, S., Velloso, C. P., Duggal, N. A., Lord, J. M., Lazarus, N. R., &amp; Harridge, S. D. R. (2015). An investigation into the relationship between age and physiological function in highly active older adults. </w:t>
      </w:r>
      <w:r w:rsidRPr="00C467F6">
        <w:rPr>
          <w:rFonts w:ascii="Calibri" w:hAnsi="Calibri" w:cs="Calibri"/>
          <w:i/>
          <w:iCs/>
          <w:sz w:val="22"/>
        </w:rPr>
        <w:t>The Journal of Physiology</w:t>
      </w:r>
      <w:r w:rsidRPr="00C467F6">
        <w:rPr>
          <w:rFonts w:ascii="Calibri" w:hAnsi="Calibri" w:cs="Calibri"/>
          <w:sz w:val="22"/>
        </w:rPr>
        <w:t xml:space="preserve">, </w:t>
      </w:r>
      <w:r w:rsidRPr="00C467F6">
        <w:rPr>
          <w:rFonts w:ascii="Calibri" w:hAnsi="Calibri" w:cs="Calibri"/>
          <w:i/>
          <w:iCs/>
          <w:sz w:val="22"/>
        </w:rPr>
        <w:t>593</w:t>
      </w:r>
      <w:r w:rsidRPr="00C467F6">
        <w:rPr>
          <w:rFonts w:ascii="Calibri" w:hAnsi="Calibri" w:cs="Calibri"/>
          <w:sz w:val="22"/>
        </w:rPr>
        <w:t>(3), 657–680; discussion 680. https://doi.org/10.1113/jphysiol.2014.282863</w:t>
      </w:r>
    </w:p>
    <w:p w14:paraId="23645753" w14:textId="01445B4C" w:rsidR="00427230" w:rsidRPr="00B715DB" w:rsidRDefault="00C467F6" w:rsidP="00427230">
      <w:pPr>
        <w:rPr>
          <w:color w:val="FF0000"/>
        </w:rPr>
      </w:pPr>
      <w:r>
        <w:rPr>
          <w:color w:val="FF0000"/>
        </w:rPr>
        <w:fldChar w:fldCharType="end"/>
      </w:r>
    </w:p>
    <w:sectPr w:rsidR="00427230" w:rsidRPr="00B71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30"/>
    <w:rsid w:val="0000270A"/>
    <w:rsid w:val="00017C2B"/>
    <w:rsid w:val="00043BDD"/>
    <w:rsid w:val="00061946"/>
    <w:rsid w:val="000A0E7B"/>
    <w:rsid w:val="000C6394"/>
    <w:rsid w:val="000D090C"/>
    <w:rsid w:val="000E77CD"/>
    <w:rsid w:val="000F42A2"/>
    <w:rsid w:val="00110491"/>
    <w:rsid w:val="001B16C9"/>
    <w:rsid w:val="001F6DD2"/>
    <w:rsid w:val="002C210F"/>
    <w:rsid w:val="002D2B78"/>
    <w:rsid w:val="003231EE"/>
    <w:rsid w:val="00344BC4"/>
    <w:rsid w:val="00346750"/>
    <w:rsid w:val="00427230"/>
    <w:rsid w:val="00457512"/>
    <w:rsid w:val="00462CCD"/>
    <w:rsid w:val="00476884"/>
    <w:rsid w:val="00491403"/>
    <w:rsid w:val="00492565"/>
    <w:rsid w:val="004D0D9E"/>
    <w:rsid w:val="004E2997"/>
    <w:rsid w:val="004E376E"/>
    <w:rsid w:val="0050624B"/>
    <w:rsid w:val="005372DF"/>
    <w:rsid w:val="00642EBF"/>
    <w:rsid w:val="00693EFD"/>
    <w:rsid w:val="006D2D76"/>
    <w:rsid w:val="00743FDD"/>
    <w:rsid w:val="00756A3E"/>
    <w:rsid w:val="00774F4A"/>
    <w:rsid w:val="007953AB"/>
    <w:rsid w:val="00876CA5"/>
    <w:rsid w:val="008803BA"/>
    <w:rsid w:val="008D3D99"/>
    <w:rsid w:val="0093363C"/>
    <w:rsid w:val="009602CE"/>
    <w:rsid w:val="0097353A"/>
    <w:rsid w:val="00973ED7"/>
    <w:rsid w:val="00976EB1"/>
    <w:rsid w:val="00977957"/>
    <w:rsid w:val="00983632"/>
    <w:rsid w:val="009A0059"/>
    <w:rsid w:val="009D58FD"/>
    <w:rsid w:val="009F2E45"/>
    <w:rsid w:val="00A57214"/>
    <w:rsid w:val="00A65907"/>
    <w:rsid w:val="00A71C63"/>
    <w:rsid w:val="00A75DC4"/>
    <w:rsid w:val="00B13736"/>
    <w:rsid w:val="00B472F3"/>
    <w:rsid w:val="00B715DB"/>
    <w:rsid w:val="00B821F6"/>
    <w:rsid w:val="00BB331A"/>
    <w:rsid w:val="00C467F6"/>
    <w:rsid w:val="00CB029D"/>
    <w:rsid w:val="00D06468"/>
    <w:rsid w:val="00D94160"/>
    <w:rsid w:val="00DA395A"/>
    <w:rsid w:val="00DE1F79"/>
    <w:rsid w:val="00E1212E"/>
    <w:rsid w:val="00E83CAC"/>
    <w:rsid w:val="00E972FB"/>
    <w:rsid w:val="00EA0694"/>
    <w:rsid w:val="00EC28D1"/>
    <w:rsid w:val="00EF1065"/>
    <w:rsid w:val="00EF2D3F"/>
    <w:rsid w:val="00F16C35"/>
    <w:rsid w:val="00F46A73"/>
    <w:rsid w:val="00F759F8"/>
    <w:rsid w:val="00F9262A"/>
    <w:rsid w:val="00FB6DFC"/>
    <w:rsid w:val="00FB704E"/>
    <w:rsid w:val="00FC2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C5E7"/>
  <w15:chartTrackingRefBased/>
  <w15:docId w15:val="{BE84EF81-77A7-4292-96D6-D2B11D8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aliases w:val="Zotero bibliography"/>
    <w:basedOn w:val="BodyText"/>
    <w:next w:val="BodyText"/>
    <w:autoRedefine/>
    <w:uiPriority w:val="37"/>
    <w:unhideWhenUsed/>
    <w:qFormat/>
    <w:rsid w:val="00983632"/>
    <w:pPr>
      <w:spacing w:after="0" w:line="480" w:lineRule="auto"/>
      <w:ind w:left="720" w:hanging="720"/>
    </w:pPr>
    <w:rPr>
      <w:rFonts w:ascii="Times New Roman" w:hAnsi="Times New Roman"/>
      <w:sz w:val="24"/>
    </w:rPr>
  </w:style>
  <w:style w:type="paragraph" w:styleId="BodyText">
    <w:name w:val="Body Text"/>
    <w:basedOn w:val="Normal"/>
    <w:link w:val="BodyTextChar"/>
    <w:uiPriority w:val="99"/>
    <w:semiHidden/>
    <w:unhideWhenUsed/>
    <w:rsid w:val="00983632"/>
    <w:pPr>
      <w:spacing w:after="120"/>
    </w:pPr>
  </w:style>
  <w:style w:type="character" w:customStyle="1" w:styleId="BodyTextChar">
    <w:name w:val="Body Text Char"/>
    <w:basedOn w:val="DefaultParagraphFont"/>
    <w:link w:val="BodyText"/>
    <w:uiPriority w:val="99"/>
    <w:semiHidden/>
    <w:rsid w:val="00983632"/>
  </w:style>
  <w:style w:type="character" w:styleId="CommentReference">
    <w:name w:val="annotation reference"/>
    <w:basedOn w:val="DefaultParagraphFont"/>
    <w:uiPriority w:val="99"/>
    <w:semiHidden/>
    <w:unhideWhenUsed/>
    <w:rsid w:val="00876CA5"/>
    <w:rPr>
      <w:sz w:val="16"/>
      <w:szCs w:val="16"/>
    </w:rPr>
  </w:style>
  <w:style w:type="paragraph" w:styleId="CommentText">
    <w:name w:val="annotation text"/>
    <w:basedOn w:val="Normal"/>
    <w:link w:val="CommentTextChar"/>
    <w:uiPriority w:val="99"/>
    <w:semiHidden/>
    <w:unhideWhenUsed/>
    <w:rsid w:val="00876CA5"/>
    <w:pPr>
      <w:spacing w:line="240" w:lineRule="auto"/>
    </w:pPr>
    <w:rPr>
      <w:sz w:val="20"/>
      <w:szCs w:val="20"/>
    </w:rPr>
  </w:style>
  <w:style w:type="character" w:customStyle="1" w:styleId="CommentTextChar">
    <w:name w:val="Comment Text Char"/>
    <w:basedOn w:val="DefaultParagraphFont"/>
    <w:link w:val="CommentText"/>
    <w:uiPriority w:val="99"/>
    <w:semiHidden/>
    <w:rsid w:val="00876CA5"/>
    <w:rPr>
      <w:sz w:val="20"/>
      <w:szCs w:val="20"/>
    </w:rPr>
  </w:style>
  <w:style w:type="paragraph" w:styleId="CommentSubject">
    <w:name w:val="annotation subject"/>
    <w:basedOn w:val="CommentText"/>
    <w:next w:val="CommentText"/>
    <w:link w:val="CommentSubjectChar"/>
    <w:uiPriority w:val="99"/>
    <w:semiHidden/>
    <w:unhideWhenUsed/>
    <w:rsid w:val="00876CA5"/>
    <w:rPr>
      <w:b/>
      <w:bCs/>
    </w:rPr>
  </w:style>
  <w:style w:type="character" w:customStyle="1" w:styleId="CommentSubjectChar">
    <w:name w:val="Comment Subject Char"/>
    <w:basedOn w:val="CommentTextChar"/>
    <w:link w:val="CommentSubject"/>
    <w:uiPriority w:val="99"/>
    <w:semiHidden/>
    <w:rsid w:val="00876CA5"/>
    <w:rPr>
      <w:b/>
      <w:bCs/>
      <w:sz w:val="20"/>
      <w:szCs w:val="20"/>
    </w:rPr>
  </w:style>
  <w:style w:type="character" w:styleId="Hyperlink">
    <w:name w:val="Hyperlink"/>
    <w:basedOn w:val="DefaultParagraphFont"/>
    <w:uiPriority w:val="99"/>
    <w:unhideWhenUsed/>
    <w:rsid w:val="00A75DC4"/>
    <w:rPr>
      <w:color w:val="0563C1" w:themeColor="hyperlink"/>
      <w:u w:val="single"/>
    </w:rPr>
  </w:style>
  <w:style w:type="character" w:styleId="UnresolvedMention">
    <w:name w:val="Unresolved Mention"/>
    <w:basedOn w:val="DefaultParagraphFont"/>
    <w:uiPriority w:val="99"/>
    <w:semiHidden/>
    <w:unhideWhenUsed/>
    <w:rsid w:val="00A75DC4"/>
    <w:rPr>
      <w:color w:val="605E5C"/>
      <w:shd w:val="clear" w:color="auto" w:fill="E1DFDD"/>
    </w:rPr>
  </w:style>
  <w:style w:type="character" w:styleId="FollowedHyperlink">
    <w:name w:val="FollowedHyperlink"/>
    <w:basedOn w:val="DefaultParagraphFont"/>
    <w:uiPriority w:val="99"/>
    <w:semiHidden/>
    <w:unhideWhenUsed/>
    <w:rsid w:val="00A75DC4"/>
    <w:rPr>
      <w:color w:val="954F72" w:themeColor="followedHyperlink"/>
      <w:u w:val="single"/>
    </w:rPr>
  </w:style>
  <w:style w:type="paragraph" w:styleId="Revision">
    <w:name w:val="Revision"/>
    <w:hidden/>
    <w:uiPriority w:val="99"/>
    <w:semiHidden/>
    <w:rsid w:val="002C2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7939">
      <w:bodyDiv w:val="1"/>
      <w:marLeft w:val="0"/>
      <w:marRight w:val="0"/>
      <w:marTop w:val="0"/>
      <w:marBottom w:val="0"/>
      <w:divBdr>
        <w:top w:val="none" w:sz="0" w:space="0" w:color="auto"/>
        <w:left w:val="none" w:sz="0" w:space="0" w:color="auto"/>
        <w:bottom w:val="none" w:sz="0" w:space="0" w:color="auto"/>
        <w:right w:val="none" w:sz="0" w:space="0" w:color="auto"/>
      </w:divBdr>
    </w:div>
    <w:div w:id="1411200203">
      <w:bodyDiv w:val="1"/>
      <w:marLeft w:val="0"/>
      <w:marRight w:val="0"/>
      <w:marTop w:val="0"/>
      <w:marBottom w:val="0"/>
      <w:divBdr>
        <w:top w:val="none" w:sz="0" w:space="0" w:color="auto"/>
        <w:left w:val="none" w:sz="0" w:space="0" w:color="auto"/>
        <w:bottom w:val="none" w:sz="0" w:space="0" w:color="auto"/>
        <w:right w:val="none" w:sz="0" w:space="0" w:color="auto"/>
      </w:divBdr>
    </w:div>
    <w:div w:id="14316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hys.2021.730995/full" TargetMode="External"/><Relationship Id="rId13" Type="http://schemas.openxmlformats.org/officeDocument/2006/relationships/hyperlink" Target="https://www.frontiersin.org/articles/10.3389/fphys.2021.639066/full" TargetMode="External"/><Relationship Id="rId3" Type="http://schemas.openxmlformats.org/officeDocument/2006/relationships/settings" Target="settings.xml"/><Relationship Id="rId7" Type="http://schemas.openxmlformats.org/officeDocument/2006/relationships/hyperlink" Target="https://www.frontiersin.org/articles/10.3389/fphys.2021.715044/full" TargetMode="External"/><Relationship Id="rId12" Type="http://schemas.openxmlformats.org/officeDocument/2006/relationships/hyperlink" Target="https://www.frontiersin.org/articles/10.3389/fphys.2021.723931/fu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rontiersin.org/articles/10.3389/fphys.2021.702248/full" TargetMode="External"/><Relationship Id="rId11" Type="http://schemas.openxmlformats.org/officeDocument/2006/relationships/hyperlink" Target="https://www.frontiersin.org/articles/10.3389/fphys.2021.631237/full" TargetMode="External"/><Relationship Id="rId5" Type="http://schemas.openxmlformats.org/officeDocument/2006/relationships/hyperlink" Target="https://www.frontiersin.org/articles/10.3389/fphys.2020.00883/full" TargetMode="External"/><Relationship Id="rId15" Type="http://schemas.openxmlformats.org/officeDocument/2006/relationships/hyperlink" Target="https://www.frontiersin.org/articles/10.3389/fphys.2021.794940/full" TargetMode="External"/><Relationship Id="rId10" Type="http://schemas.openxmlformats.org/officeDocument/2006/relationships/hyperlink" Target="https://www.frontiersin.org/articles/10.3389/fphys.2021.654544/full" TargetMode="External"/><Relationship Id="rId4" Type="http://schemas.openxmlformats.org/officeDocument/2006/relationships/webSettings" Target="webSettings.xml"/><Relationship Id="rId9" Type="http://schemas.openxmlformats.org/officeDocument/2006/relationships/hyperlink" Target="https://www.frontiersin.org/articles/10.3389/fphys.2020.629738/full" TargetMode="External"/><Relationship Id="rId14" Type="http://schemas.openxmlformats.org/officeDocument/2006/relationships/hyperlink" Target="https://www.frontiersin.org/articles/10.3389/fphys.2021.658218/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5579-78C3-4D03-BBC9-6C2A38E5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Hayes</dc:creator>
  <cp:keywords/>
  <dc:description/>
  <cp:lastModifiedBy>brad elliott</cp:lastModifiedBy>
  <cp:revision>2</cp:revision>
  <dcterms:created xsi:type="dcterms:W3CDTF">2022-08-24T16:20:00Z</dcterms:created>
  <dcterms:modified xsi:type="dcterms:W3CDTF">2022-08-24T16:20:00Z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id="PKK7zJNd"/&gt;&lt;style id="http://www.zotero.org/styles/apa" locale="en-GB" hasBibliography="1" bibliographyStyleHasBeenSet="1"/&gt;&lt;prefs&gt;&lt;pref name="fieldType" value="Field"/&gt;&lt;/prefs&gt;&lt;/data&gt;</vt:lpwstr>
  </property>
</Properties>
</file>